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35" w:rsidRPr="00AA4AA4" w:rsidRDefault="009F1EFE" w:rsidP="00AA4AA4">
      <w:pPr>
        <w:jc w:val="center"/>
        <w:rPr>
          <w:b/>
          <w:lang w:val="sk-SK"/>
        </w:rPr>
      </w:pPr>
      <w:r w:rsidRPr="00AA4AA4">
        <w:rPr>
          <w:b/>
          <w:lang w:val="sk-SK"/>
        </w:rPr>
        <w:t xml:space="preserve">KOSIT </w:t>
      </w:r>
      <w:r w:rsidR="00247050" w:rsidRPr="00AA4AA4">
        <w:rPr>
          <w:b/>
          <w:lang w:val="sk-SK"/>
        </w:rPr>
        <w:t>o predaji akcií mesta Košice</w:t>
      </w:r>
    </w:p>
    <w:p w:rsidR="009F1EFE" w:rsidRDefault="009F1EFE" w:rsidP="00AA4AA4">
      <w:pPr>
        <w:jc w:val="both"/>
        <w:rPr>
          <w:lang w:val="sk-SK"/>
        </w:rPr>
      </w:pPr>
    </w:p>
    <w:p w:rsidR="009F1EFE" w:rsidRDefault="009F1EFE" w:rsidP="00AA4AA4">
      <w:pPr>
        <w:jc w:val="both"/>
        <w:rPr>
          <w:b/>
          <w:bCs/>
          <w:lang w:val="sk-SK"/>
        </w:rPr>
      </w:pPr>
      <w:r w:rsidRPr="009F1EFE">
        <w:rPr>
          <w:i/>
          <w:lang w:val="sk-SK"/>
        </w:rPr>
        <w:t>Košice, 6. 4. 2017</w:t>
      </w:r>
      <w:r>
        <w:rPr>
          <w:lang w:val="sk-SK"/>
        </w:rPr>
        <w:t xml:space="preserve">: Predaj akcií mesta Košice v spoločnosti </w:t>
      </w:r>
      <w:r w:rsidR="00247050">
        <w:rPr>
          <w:lang w:val="sk-SK"/>
        </w:rPr>
        <w:t>KOSIT a.s. naštartoval strategický</w:t>
      </w:r>
      <w:r>
        <w:rPr>
          <w:lang w:val="sk-SK"/>
        </w:rPr>
        <w:t xml:space="preserve"> plán na roky 2016 – 2021, </w:t>
      </w:r>
      <w:r w:rsidR="00247050">
        <w:rPr>
          <w:lang w:val="sk-SK"/>
        </w:rPr>
        <w:t>pričom spoločnosť sa naň pripravovala už od zmeny akcionára v roku 2014. Investíc</w:t>
      </w:r>
      <w:r w:rsidR="00835793">
        <w:rPr>
          <w:lang w:val="sk-SK"/>
        </w:rPr>
        <w:t>ie boli potrebné po zistení vá</w:t>
      </w:r>
      <w:r w:rsidRPr="009F1EFE">
        <w:rPr>
          <w:lang w:val="sk-SK"/>
        </w:rPr>
        <w:t xml:space="preserve">d technológie </w:t>
      </w:r>
      <w:bookmarkStart w:id="0" w:name="_GoBack"/>
      <w:bookmarkEnd w:id="0"/>
      <w:r w:rsidRPr="009F1EFE">
        <w:rPr>
          <w:lang w:val="sk-SK"/>
        </w:rPr>
        <w:t xml:space="preserve">na spaľovni a jej skutočného stavu. Celkový objem investícií na obdobie 5 rokov bol stanovený vo výške </w:t>
      </w:r>
      <w:r>
        <w:rPr>
          <w:lang w:val="sk-SK"/>
        </w:rPr>
        <w:t>51 mil. eur</w:t>
      </w:r>
      <w:r w:rsidRPr="009F1EFE">
        <w:rPr>
          <w:lang w:val="sk-SK"/>
        </w:rPr>
        <w:t>. Vzhľadom na to, že komerčné banky požiadali pri financovaní balíka projektov o participáciu aj akcionárov, obrátila sa spoločnosť KOSIT so žiadosťou o vyjadreni</w:t>
      </w:r>
      <w:r>
        <w:rPr>
          <w:lang w:val="sk-SK"/>
        </w:rPr>
        <w:t xml:space="preserve">e ohľadom poskytnutia zdrojov na </w:t>
      </w:r>
      <w:r w:rsidRPr="009F1EFE">
        <w:rPr>
          <w:lang w:val="sk-SK"/>
        </w:rPr>
        <w:t xml:space="preserve">oboch akcionárov. Majoritný akcionár Wood Waste Management s návrhom súhlasil a nebolo jeho zámerom iniciovať zmenu akcionárskej štruktúry, keďže spoluprácu s mestom Košice stále považuje za korektnú a konštruktívnu. </w:t>
      </w:r>
      <w:r w:rsidRPr="009F1EFE">
        <w:rPr>
          <w:b/>
          <w:bCs/>
          <w:lang w:val="sk-SK"/>
        </w:rPr>
        <w:t xml:space="preserve">Mesto Košice po zvážení požiadavky spoločnosti KOSIT </w:t>
      </w:r>
      <w:r w:rsidR="00AA4AA4">
        <w:rPr>
          <w:b/>
          <w:bCs/>
          <w:lang w:val="sk-SK"/>
        </w:rPr>
        <w:t xml:space="preserve">však </w:t>
      </w:r>
      <w:r w:rsidRPr="009F1EFE">
        <w:rPr>
          <w:b/>
          <w:bCs/>
          <w:lang w:val="sk-SK"/>
        </w:rPr>
        <w:t>rozhodlo o vyhlásení verejnej súťaže na predaj svojho podielu.</w:t>
      </w:r>
    </w:p>
    <w:p w:rsidR="00000000" w:rsidRDefault="00AA4AA4" w:rsidP="00AA4AA4">
      <w:pPr>
        <w:jc w:val="both"/>
        <w:rPr>
          <w:bCs/>
          <w:lang w:val="sk-SK"/>
        </w:rPr>
      </w:pPr>
      <w:r w:rsidRPr="00EB0BF8">
        <w:rPr>
          <w:bCs/>
          <w:lang w:val="sk-SK"/>
        </w:rPr>
        <w:t xml:space="preserve">Mesto </w:t>
      </w:r>
      <w:r w:rsidR="00EB0BF8">
        <w:rPr>
          <w:bCs/>
          <w:lang w:val="sk-SK"/>
        </w:rPr>
        <w:t xml:space="preserve">Košice </w:t>
      </w:r>
      <w:r w:rsidRPr="00EB0BF8">
        <w:rPr>
          <w:bCs/>
          <w:lang w:val="sk-SK"/>
        </w:rPr>
        <w:t xml:space="preserve">bolo informované listom zo dňa </w:t>
      </w:r>
      <w:r w:rsidRPr="00EB0BF8">
        <w:rPr>
          <w:bCs/>
          <w:lang w:val="sk-SK"/>
        </w:rPr>
        <w:t>10. 11. 2016</w:t>
      </w:r>
      <w:r w:rsidRPr="00EB0BF8">
        <w:rPr>
          <w:bCs/>
          <w:lang w:val="sk-SK"/>
        </w:rPr>
        <w:t xml:space="preserve">, že majoritný akcionár ponúka mestu sumu vo výške </w:t>
      </w:r>
      <w:r w:rsidR="00EB0BF8">
        <w:rPr>
          <w:bCs/>
          <w:lang w:val="sk-SK"/>
        </w:rPr>
        <w:t>4,089 mil. eur</w:t>
      </w:r>
      <w:r w:rsidRPr="00EB0BF8">
        <w:rPr>
          <w:bCs/>
          <w:lang w:val="sk-SK"/>
        </w:rPr>
        <w:t xml:space="preserve"> za 29 akcií</w:t>
      </w:r>
      <w:r w:rsidRPr="00EB0BF8">
        <w:rPr>
          <w:bCs/>
          <w:lang w:val="sk-SK"/>
        </w:rPr>
        <w:t xml:space="preserve"> KOSIT-u, ktoré by boli </w:t>
      </w:r>
      <w:r w:rsidRPr="00EB0BF8">
        <w:rPr>
          <w:bCs/>
          <w:lang w:val="sk-SK"/>
        </w:rPr>
        <w:t>odkúpené samotnou spoločnosťou</w:t>
      </w:r>
      <w:r w:rsidRPr="00EB0BF8">
        <w:rPr>
          <w:bCs/>
          <w:lang w:val="sk-SK"/>
        </w:rPr>
        <w:t>.</w:t>
      </w:r>
      <w:r w:rsidR="00EB0BF8">
        <w:rPr>
          <w:bCs/>
        </w:rPr>
        <w:t xml:space="preserve"> </w:t>
      </w:r>
      <w:r w:rsidRPr="00EB0BF8">
        <w:rPr>
          <w:b/>
          <w:bCs/>
          <w:lang w:val="sk-SK"/>
        </w:rPr>
        <w:t xml:space="preserve">Odkup akcií spoločnosti samotnou spoločnosťou je </w:t>
      </w:r>
      <w:r w:rsidRPr="00EB0BF8">
        <w:rPr>
          <w:b/>
          <w:bCs/>
          <w:lang w:val="sk-SK"/>
        </w:rPr>
        <w:t xml:space="preserve">legitímnou možnosťou </w:t>
      </w:r>
      <w:r w:rsidRPr="00EB0BF8">
        <w:rPr>
          <w:b/>
          <w:bCs/>
          <w:lang w:val="sk-SK"/>
        </w:rPr>
        <w:t>v prípade predaja akcií jedným z akcionárov</w:t>
      </w:r>
      <w:r w:rsidRPr="00EB0BF8">
        <w:rPr>
          <w:bCs/>
          <w:lang w:val="sk-SK"/>
        </w:rPr>
        <w:t>.</w:t>
      </w:r>
      <w:r w:rsidR="00EB0BF8">
        <w:rPr>
          <w:bCs/>
        </w:rPr>
        <w:t xml:space="preserve"> </w:t>
      </w:r>
      <w:r w:rsidRPr="00EB0BF8">
        <w:rPr>
          <w:bCs/>
          <w:lang w:val="sk-SK"/>
        </w:rPr>
        <w:t xml:space="preserve">Spoločnosť KOSIT sa tak rozhodla na základe rozhodnutia svojich štatutárnych orgánov a </w:t>
      </w:r>
      <w:r w:rsidRPr="00EB0BF8">
        <w:rPr>
          <w:bCs/>
          <w:lang w:val="sk-SK"/>
        </w:rPr>
        <w:t xml:space="preserve">efekt, </w:t>
      </w:r>
      <w:r w:rsidRPr="00EB0BF8">
        <w:rPr>
          <w:bCs/>
          <w:lang w:val="sk-SK"/>
        </w:rPr>
        <w:t xml:space="preserve">ktorý </w:t>
      </w:r>
      <w:r w:rsidRPr="00EB0BF8">
        <w:rPr>
          <w:bCs/>
          <w:lang w:val="sk-SK"/>
        </w:rPr>
        <w:t xml:space="preserve">by sa </w:t>
      </w:r>
      <w:r w:rsidRPr="00EB0BF8">
        <w:rPr>
          <w:bCs/>
          <w:lang w:val="sk-SK"/>
        </w:rPr>
        <w:t xml:space="preserve">z pohľadu mesta </w:t>
      </w:r>
      <w:r w:rsidRPr="00EB0BF8">
        <w:rPr>
          <w:bCs/>
          <w:lang w:val="sk-SK"/>
        </w:rPr>
        <w:t>týmto krokom mohol potenciálne dosiahnuť</w:t>
      </w:r>
      <w:r w:rsidR="00EB0BF8">
        <w:rPr>
          <w:bCs/>
          <w:lang w:val="sk-SK"/>
        </w:rPr>
        <w:t>,</w:t>
      </w:r>
      <w:r w:rsidRPr="00EB0BF8">
        <w:rPr>
          <w:bCs/>
          <w:lang w:val="sk-SK"/>
        </w:rPr>
        <w:t xml:space="preserve"> by bol </w:t>
      </w:r>
      <w:r w:rsidRPr="00EB0BF8">
        <w:rPr>
          <w:bCs/>
          <w:lang w:val="sk-SK"/>
        </w:rPr>
        <w:t>rovnaký</w:t>
      </w:r>
      <w:r w:rsidRPr="00EB0BF8">
        <w:rPr>
          <w:bCs/>
          <w:lang w:val="sk-SK"/>
        </w:rPr>
        <w:t>, ako keby ponuku dával majoritný akcionár.</w:t>
      </w:r>
      <w:r w:rsidR="00EB0BF8">
        <w:rPr>
          <w:bCs/>
        </w:rPr>
        <w:t xml:space="preserve"> </w:t>
      </w:r>
      <w:r w:rsidRPr="00EB0BF8">
        <w:rPr>
          <w:bCs/>
          <w:lang w:val="sk-SK"/>
        </w:rPr>
        <w:t>Kúpu vlastných akcií by spoločnosť KOSIT real</w:t>
      </w:r>
      <w:r w:rsidRPr="00EB0BF8">
        <w:rPr>
          <w:bCs/>
          <w:lang w:val="sk-SK"/>
        </w:rPr>
        <w:t xml:space="preserve">izovala </w:t>
      </w:r>
      <w:r w:rsidRPr="00EB0BF8">
        <w:rPr>
          <w:b/>
          <w:bCs/>
          <w:lang w:val="sk-SK"/>
        </w:rPr>
        <w:t>zo zdrojov od majoritného akcionára</w:t>
      </w:r>
      <w:r w:rsidRPr="00EB0BF8">
        <w:rPr>
          <w:bCs/>
          <w:lang w:val="sk-SK"/>
        </w:rPr>
        <w:t>.</w:t>
      </w:r>
      <w:r w:rsidR="00EB0BF8">
        <w:rPr>
          <w:bCs/>
        </w:rPr>
        <w:t xml:space="preserve"> </w:t>
      </w:r>
      <w:r w:rsidRPr="00EB0BF8">
        <w:rPr>
          <w:bCs/>
          <w:lang w:val="sk-SK"/>
        </w:rPr>
        <w:t xml:space="preserve">Mesto Košice </w:t>
      </w:r>
      <w:r w:rsidRPr="00EB0BF8">
        <w:rPr>
          <w:bCs/>
          <w:lang w:val="sk-SK"/>
        </w:rPr>
        <w:t>by tak získalo za sv</w:t>
      </w:r>
      <w:r>
        <w:rPr>
          <w:bCs/>
          <w:lang w:val="sk-SK"/>
        </w:rPr>
        <w:t xml:space="preserve">oj podiel finančné prostriedky </w:t>
      </w:r>
      <w:r w:rsidRPr="00EB0BF8">
        <w:rPr>
          <w:bCs/>
          <w:lang w:val="sk-SK"/>
        </w:rPr>
        <w:t xml:space="preserve">a znížilo </w:t>
      </w:r>
      <w:r>
        <w:rPr>
          <w:bCs/>
          <w:lang w:val="sk-SK"/>
        </w:rPr>
        <w:t xml:space="preserve">by </w:t>
      </w:r>
      <w:r w:rsidRPr="00EB0BF8">
        <w:rPr>
          <w:bCs/>
          <w:lang w:val="sk-SK"/>
        </w:rPr>
        <w:t>svoj akcionársky podiel v spoločnosti na 5</w:t>
      </w:r>
      <w:r>
        <w:rPr>
          <w:bCs/>
          <w:lang w:val="sk-SK"/>
        </w:rPr>
        <w:t xml:space="preserve"> </w:t>
      </w:r>
      <w:r w:rsidRPr="00EB0BF8">
        <w:rPr>
          <w:bCs/>
          <w:lang w:val="sk-SK"/>
        </w:rPr>
        <w:t>%</w:t>
      </w:r>
      <w:r w:rsidRPr="00EB0BF8">
        <w:rPr>
          <w:bCs/>
          <w:lang w:val="sk-SK"/>
        </w:rPr>
        <w:t>.</w:t>
      </w:r>
      <w:r w:rsidR="00EB0BF8">
        <w:rPr>
          <w:bCs/>
        </w:rPr>
        <w:t xml:space="preserve"> </w:t>
      </w:r>
      <w:r w:rsidRPr="00EB0BF8">
        <w:rPr>
          <w:bCs/>
          <w:lang w:val="sk-SK"/>
        </w:rPr>
        <w:t xml:space="preserve">Táto alternatíva je však vzhľadom na predbežné výsledky </w:t>
      </w:r>
      <w:r w:rsidR="00EB0BF8">
        <w:rPr>
          <w:bCs/>
          <w:lang w:val="sk-SK"/>
        </w:rPr>
        <w:t>súťaže neaktuálna, keďže KOSIT nedal najvyššiu ponuku.</w:t>
      </w:r>
    </w:p>
    <w:p w:rsidR="00EB0BF8" w:rsidRDefault="00EB0BF8" w:rsidP="00AA4AA4">
      <w:pPr>
        <w:jc w:val="both"/>
        <w:rPr>
          <w:lang w:val="sk-SK"/>
        </w:rPr>
      </w:pPr>
      <w:r>
        <w:rPr>
          <w:i/>
          <w:iCs/>
          <w:lang w:val="sk-SK"/>
        </w:rPr>
        <w:t>„Ponuku 4,098 mil. eur</w:t>
      </w:r>
      <w:r w:rsidRPr="00EB0BF8">
        <w:rPr>
          <w:i/>
          <w:iCs/>
          <w:lang w:val="sk-SK"/>
        </w:rPr>
        <w:t xml:space="preserve"> považujeme za primeranú aj s ohľadom na to, že bola vyššia ako vypracovaný znalecký posudok. Výsledná cena o pol milióna vyššia je pre nás prekvapením. Skôr než podnikneme ďalšie kroky, budeme musieť zvážiť výšku ceny a motívy záujmu AVE SR Východ o podiel v spoločnosti KOSIT. Až na základe týchto úvah využijeme, alebo n</w:t>
      </w:r>
      <w:r w:rsidR="0002146B">
        <w:rPr>
          <w:i/>
          <w:iCs/>
          <w:lang w:val="sk-SK"/>
        </w:rPr>
        <w:t>evyužijeme naše predkupné právo,</w:t>
      </w:r>
      <w:r w:rsidRPr="00EB0BF8">
        <w:rPr>
          <w:i/>
          <w:iCs/>
          <w:lang w:val="sk-SK"/>
        </w:rPr>
        <w:t>"</w:t>
      </w:r>
      <w:r w:rsidR="0002146B">
        <w:rPr>
          <w:i/>
          <w:iCs/>
          <w:lang w:val="sk-SK"/>
        </w:rPr>
        <w:t xml:space="preserve"> </w:t>
      </w:r>
      <w:r w:rsidR="0002146B">
        <w:rPr>
          <w:iCs/>
          <w:lang w:val="sk-SK"/>
        </w:rPr>
        <w:t xml:space="preserve">uviedol </w:t>
      </w:r>
      <w:r w:rsidRPr="00EB0BF8">
        <w:rPr>
          <w:lang w:val="sk-SK"/>
        </w:rPr>
        <w:t>Ľubo</w:t>
      </w:r>
      <w:r w:rsidR="0002146B">
        <w:rPr>
          <w:lang w:val="sk-SK"/>
        </w:rPr>
        <w:t>mír</w:t>
      </w:r>
      <w:r w:rsidRPr="00EB0BF8">
        <w:rPr>
          <w:lang w:val="sk-SK"/>
        </w:rPr>
        <w:t xml:space="preserve"> Šoltýs, predseda predstavenstva spoločnosti KOSIT a predseda predstavenstva Wood &amp; Company.</w:t>
      </w:r>
    </w:p>
    <w:p w:rsidR="00536EFA" w:rsidRDefault="00AA4AA4" w:rsidP="00AA4AA4">
      <w:pPr>
        <w:jc w:val="both"/>
        <w:rPr>
          <w:lang w:val="sk-SK"/>
        </w:rPr>
      </w:pPr>
      <w:r w:rsidRPr="00CD0469">
        <w:rPr>
          <w:lang w:val="sk-SK"/>
        </w:rPr>
        <w:t>Mesto K</w:t>
      </w:r>
      <w:r w:rsidR="00536EFA">
        <w:rPr>
          <w:lang w:val="sk-SK"/>
        </w:rPr>
        <w:t>ošice a relevantná komisia</w:t>
      </w:r>
      <w:r w:rsidR="00EB6870">
        <w:rPr>
          <w:lang w:val="sk-SK"/>
        </w:rPr>
        <w:t xml:space="preserve"> </w:t>
      </w:r>
      <w:r w:rsidR="00536EFA">
        <w:rPr>
          <w:lang w:val="sk-SK"/>
        </w:rPr>
        <w:t>rozhodnú</w:t>
      </w:r>
      <w:r w:rsidRPr="00CD0469">
        <w:rPr>
          <w:lang w:val="sk-SK"/>
        </w:rPr>
        <w:t xml:space="preserve"> na zákla</w:t>
      </w:r>
      <w:r w:rsidR="00536EFA">
        <w:rPr>
          <w:lang w:val="sk-SK"/>
        </w:rPr>
        <w:t xml:space="preserve">de predložených ponúk </w:t>
      </w:r>
      <w:r w:rsidRPr="00CD0469">
        <w:rPr>
          <w:lang w:val="sk-SK"/>
        </w:rPr>
        <w:t>o víťazovi súťaže.</w:t>
      </w:r>
      <w:r w:rsidR="00536EFA">
        <w:rPr>
          <w:lang w:val="sk-SK"/>
        </w:rPr>
        <w:t xml:space="preserve"> </w:t>
      </w:r>
      <w:r w:rsidR="00EB6870">
        <w:rPr>
          <w:lang w:val="sk-SK"/>
        </w:rPr>
        <w:t xml:space="preserve">Keď </w:t>
      </w:r>
      <w:r w:rsidR="00536EFA">
        <w:rPr>
          <w:lang w:val="sk-SK"/>
        </w:rPr>
        <w:t xml:space="preserve">ako víťaza </w:t>
      </w:r>
      <w:r w:rsidR="00EB6870">
        <w:rPr>
          <w:lang w:val="sk-SK"/>
        </w:rPr>
        <w:t xml:space="preserve">určia </w:t>
      </w:r>
      <w:r w:rsidR="00536EFA" w:rsidRPr="00CD0469">
        <w:rPr>
          <w:lang w:val="sk-SK"/>
        </w:rPr>
        <w:t>spo</w:t>
      </w:r>
      <w:r w:rsidR="00536EFA">
        <w:rPr>
          <w:lang w:val="sk-SK"/>
        </w:rPr>
        <w:t xml:space="preserve">ločnosť AVE SR Východ, ktorá dala najvyššiu ponuku, </w:t>
      </w:r>
      <w:r w:rsidR="00536EFA" w:rsidRPr="00CD0469">
        <w:rPr>
          <w:lang w:val="sk-SK"/>
        </w:rPr>
        <w:t>mesto Košice vyzve majoritného akcionára, aby sa vyjadril k uplatneniu predkupného práva.</w:t>
      </w:r>
      <w:r w:rsidR="00536EFA" w:rsidRPr="00536EFA">
        <w:rPr>
          <w:lang w:val="sk-SK"/>
        </w:rPr>
        <w:t xml:space="preserve"> </w:t>
      </w:r>
      <w:r w:rsidR="00536EFA" w:rsidRPr="00536EFA">
        <w:rPr>
          <w:lang w:val="sk-SK"/>
        </w:rPr>
        <w:t>V prípade, že majoritný akcionár svoje právo uplatní, bude musieť najvyššiu ponúknutú cenu dorovnať.</w:t>
      </w:r>
      <w:r w:rsidR="00536EFA">
        <w:t xml:space="preserve"> </w:t>
      </w:r>
      <w:r w:rsidR="00536EFA" w:rsidRPr="00CD0469">
        <w:rPr>
          <w:lang w:val="sk-SK"/>
        </w:rPr>
        <w:t>V opačnom prípade bude mať spoločnosť KOSIT ukončením súťaže po schválení mestským zastupiteľstvom troch akcionárov.</w:t>
      </w:r>
    </w:p>
    <w:p w:rsidR="00000000" w:rsidRPr="00C8782F" w:rsidRDefault="00AA4AA4" w:rsidP="00AA4AA4">
      <w:pPr>
        <w:jc w:val="both"/>
      </w:pPr>
      <w:r w:rsidRPr="00C8782F">
        <w:rPr>
          <w:lang w:val="sk-SK"/>
        </w:rPr>
        <w:t xml:space="preserve">V súčasnosti má mesto Košice so spoločnosťou KOSIT uzatvorenú zmluvu, </w:t>
      </w:r>
      <w:r w:rsidRPr="00C8782F">
        <w:rPr>
          <w:lang w:val="sk-SK"/>
        </w:rPr>
        <w:t>ktorá garantuje stabilitu cien do roku 2021</w:t>
      </w:r>
      <w:r w:rsidRPr="00C8782F">
        <w:rPr>
          <w:lang w:val="sk-SK"/>
        </w:rPr>
        <w:t xml:space="preserve">. </w:t>
      </w:r>
      <w:r w:rsidRPr="00C8782F">
        <w:rPr>
          <w:lang w:val="sk-SK"/>
        </w:rPr>
        <w:t xml:space="preserve">Ak </w:t>
      </w:r>
      <w:r w:rsidRPr="00C8782F">
        <w:rPr>
          <w:lang w:val="sk-SK"/>
        </w:rPr>
        <w:t>mesto Košice zníži svoj podiel, nebude to mať vplyv na stabilitu cenovej úrovne</w:t>
      </w:r>
      <w:r w:rsidRPr="00C8782F">
        <w:rPr>
          <w:lang w:val="sk-SK"/>
        </w:rPr>
        <w:t xml:space="preserve">, nakoľko zmluva sa v súvislosti s prevodom podielu meniť nebude. </w:t>
      </w:r>
      <w:r w:rsidRPr="00C8782F">
        <w:rPr>
          <w:b/>
          <w:bCs/>
          <w:lang w:val="sk-SK"/>
        </w:rPr>
        <w:t>Po uplynutí platnosti tejto zmluvy nebude zohrávať výška podielu mesta Košice vplyv na novú podobu spolupráce, nakoľko tá sa bez ohľadu na výšku spomínaného podielu bude riadiť zákonom o verejnom obstarávaní a nikde nie je gara</w:t>
      </w:r>
      <w:r w:rsidRPr="00C8782F">
        <w:rPr>
          <w:b/>
          <w:bCs/>
          <w:lang w:val="sk-SK"/>
        </w:rPr>
        <w:t>ntované, že KOSIT bude zabezpečovať odpadové hospodárstvo pre Košice aj v budúcnosti.</w:t>
      </w:r>
      <w:r w:rsidR="00C8782F">
        <w:rPr>
          <w:b/>
          <w:bCs/>
          <w:lang w:val="sk-SK"/>
        </w:rPr>
        <w:t xml:space="preserve"> </w:t>
      </w:r>
      <w:r w:rsidR="00C8782F">
        <w:rPr>
          <w:bCs/>
          <w:i/>
          <w:lang w:val="sk-SK"/>
        </w:rPr>
        <w:t>„</w:t>
      </w:r>
      <w:r w:rsidRPr="00C8782F">
        <w:rPr>
          <w:i/>
          <w:lang w:val="sk-SK"/>
        </w:rPr>
        <w:t>Majoritný akcionár Wood Waste Management, ako aj spoločnosť KOSIT deklarovali, že v prípade, že s</w:t>
      </w:r>
      <w:r w:rsidRPr="00C8782F">
        <w:rPr>
          <w:i/>
          <w:lang w:val="sk-SK"/>
        </w:rPr>
        <w:t>a stanú</w:t>
      </w:r>
      <w:r w:rsidR="00C8782F">
        <w:rPr>
          <w:i/>
          <w:lang w:val="sk-SK"/>
        </w:rPr>
        <w:t xml:space="preserve"> vlastníkmi predmetných akcií</w:t>
      </w:r>
      <w:r w:rsidRPr="00C8782F">
        <w:rPr>
          <w:i/>
          <w:lang w:val="sk-SK"/>
        </w:rPr>
        <w:t xml:space="preserve">, </w:t>
      </w:r>
      <w:r w:rsidRPr="00C8782F">
        <w:rPr>
          <w:i/>
          <w:lang w:val="sk-SK"/>
        </w:rPr>
        <w:t>budú garantovať mestu Košice stabilitu cien po prevode podielu na dlhšie obdobie ako je tomu v súčasnosti</w:t>
      </w:r>
      <w:r w:rsidRPr="00C8782F">
        <w:rPr>
          <w:i/>
          <w:lang w:val="sk-SK"/>
        </w:rPr>
        <w:t>. Tento záväzok však n</w:t>
      </w:r>
      <w:r w:rsidR="00C8782F">
        <w:rPr>
          <w:i/>
          <w:lang w:val="sk-SK"/>
        </w:rPr>
        <w:t>i</w:t>
      </w:r>
      <w:r w:rsidRPr="00C8782F">
        <w:rPr>
          <w:i/>
          <w:lang w:val="sk-SK"/>
        </w:rPr>
        <w:t>e je možné plne garantovať v prípade, že do spoločnosti vst</w:t>
      </w:r>
      <w:r w:rsidR="00C8782F">
        <w:rPr>
          <w:i/>
          <w:lang w:val="sk-SK"/>
        </w:rPr>
        <w:t xml:space="preserve">úpi akcionár s odlišným motívmi,“ </w:t>
      </w:r>
      <w:r w:rsidR="00C8782F">
        <w:rPr>
          <w:lang w:val="sk-SK"/>
        </w:rPr>
        <w:t>vyjadril sa generálny riaditeľ Marián Christenko.</w:t>
      </w:r>
    </w:p>
    <w:p w:rsidR="009F1EFE" w:rsidRPr="009F1EFE" w:rsidRDefault="009F1EFE" w:rsidP="00AA4AA4">
      <w:pPr>
        <w:jc w:val="both"/>
        <w:rPr>
          <w:lang w:val="sk-SK"/>
        </w:rPr>
      </w:pPr>
    </w:p>
    <w:sectPr w:rsidR="009F1EFE" w:rsidRPr="009F1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226D3"/>
    <w:multiLevelType w:val="hybridMultilevel"/>
    <w:tmpl w:val="5CDCD580"/>
    <w:lvl w:ilvl="0" w:tplc="12E08A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AEA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E65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69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A2D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432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06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C20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5F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5841"/>
    <w:multiLevelType w:val="hybridMultilevel"/>
    <w:tmpl w:val="086A4ECC"/>
    <w:lvl w:ilvl="0" w:tplc="7BDC16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A8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16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AE9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5C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A9A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67E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226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EA1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B7863"/>
    <w:multiLevelType w:val="hybridMultilevel"/>
    <w:tmpl w:val="9F6806A8"/>
    <w:lvl w:ilvl="0" w:tplc="D8B06F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496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4B7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CAB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A06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AE1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A18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453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2FE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80A8A"/>
    <w:multiLevelType w:val="hybridMultilevel"/>
    <w:tmpl w:val="E9C24702"/>
    <w:lvl w:ilvl="0" w:tplc="953827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052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0E7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85E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2EE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EF3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613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89F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CA5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5FB7"/>
    <w:multiLevelType w:val="hybridMultilevel"/>
    <w:tmpl w:val="7F928E6A"/>
    <w:lvl w:ilvl="0" w:tplc="1604DE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C13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A98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A4D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9F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42F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C7A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23A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68A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1CB3"/>
    <w:multiLevelType w:val="hybridMultilevel"/>
    <w:tmpl w:val="64DA68A4"/>
    <w:lvl w:ilvl="0" w:tplc="E472B0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230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A9F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84D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AE0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CAB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CAA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BE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89F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FE"/>
    <w:rsid w:val="0002146B"/>
    <w:rsid w:val="00135C24"/>
    <w:rsid w:val="00215835"/>
    <w:rsid w:val="00247050"/>
    <w:rsid w:val="0026044E"/>
    <w:rsid w:val="00481466"/>
    <w:rsid w:val="005303F4"/>
    <w:rsid w:val="00536EFA"/>
    <w:rsid w:val="00835793"/>
    <w:rsid w:val="009F1EFE"/>
    <w:rsid w:val="00A85F1A"/>
    <w:rsid w:val="00AA4AA4"/>
    <w:rsid w:val="00BD588A"/>
    <w:rsid w:val="00C8782F"/>
    <w:rsid w:val="00CD0469"/>
    <w:rsid w:val="00EB0BF8"/>
    <w:rsid w:val="00E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1F11-8D8E-4267-899A-3BD5A7B6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1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4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1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6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0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7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6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2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9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6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9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17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2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3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9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0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9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78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5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2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Kubišová</dc:creator>
  <cp:keywords/>
  <dc:description/>
  <cp:lastModifiedBy>Tatiana Kubišová</cp:lastModifiedBy>
  <cp:revision>13</cp:revision>
  <dcterms:created xsi:type="dcterms:W3CDTF">2017-04-06T07:53:00Z</dcterms:created>
  <dcterms:modified xsi:type="dcterms:W3CDTF">2017-04-06T08:41:00Z</dcterms:modified>
</cp:coreProperties>
</file>